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scalable data solutions. Expertise in Databricks, Spark, ETL/ELT, and Delta Lake architecture. Skilled in creating robust data pipelines and optimizing performance with industry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Delta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access and lineage via </w:t>
      </w:r>
      <w:r>
        <w:rPr>
          <w:rFonts w:asciiTheme="minorHAnsi" w:hAnsiTheme="minorHAnsi" w:cstheme="majorHAnsi"/>
          <w:b/>
          <w:bCs/>
          <w:lang w:val="en-US"/>
        </w:rPr>
        <w:t xml:space="preserve">Unity Catalog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optimization of large-scale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 ensuring stringent SLA compliance and cost performance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sustain automated CI/CD pipelines for reliable code promotion across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 diverse data sets from relational databases to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with cloud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data pipeline performance, conducting routine audits for continuous optimization and alignment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Management and development teams to operationalize data models across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driving improvements in system architecture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emerging trends in data engineering, maintaining a culture of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data governance frameworks ensuring compliance and efficiency across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reviews, enforcing best practices for quality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across functions to streamline data workflows and support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improved data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governance during system design and deployment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analytics teams to build real-time data visualizations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workflows, significantly reducing run times for critical data processes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audits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necessary adjustments for optimal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systems to cloud-based solutions, enhancing access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and documentation processes to maintain consistency across multiple data engineering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the organization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transitioning critical data onto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for enhanced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contributing to sprint planning and execution in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integrity and performance through rigorous testing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workshops to gather requirements for data projects, resulting in more robust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improved data access and usability for end-users, increasing efficiency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Databricks, Delta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Databricks Workflows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Unity Catalog, Data Warehousing,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ELT,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