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architecting scalable data ecosystems. Proficient in building ETL pipelines, optimizing SQL queries, and implementing AWS and Azure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large datasets, enhancing query performance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data modeling standards,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star schema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lakehouse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data solutions aligning with platform modernization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strategies for data workflows to ensure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review processes to uphold software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to address performance bottlenecks and reduce technical debt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processes and workflows, promoting knowledge sharing and maintainability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their technical growth and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unify disparate data systems into a cohesive data ecosystem, enhancing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data governance regulations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data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optimize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integrating data from various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optimized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define data requirements, translating them into architectural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data deployment processes, improving release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data transformation scripts, enhancing data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migration of legacy systems to modern data solutions,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governance strategies to comply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technology choice for future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features by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performance, implementing tuning strategies that improved query execution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understand data needs and deliver solutions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data processing scripts, increasing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external APIs for data ingestion, enhancing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migrated on-premise data solutions to a cloud environment, impacting 500+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Spark, Flink, AWS Glue, Databricks,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Redshift, BigQuery, S3, Azure Synapse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&amp; Security</w:t>
      </w:r>
      <w:r>
        <w:rPr>
          <w:rFonts w:asciiTheme="minorHAnsi" w:hAnsiTheme="minorHAnsi" w:cstheme="majorHAnsi"/>
          <w:lang w:val="en-US"/>
        </w:rPr>
        <w:t xml:space="preserve">: NIST, GDPR, FedRAMP, Governance,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CI/CD pipelines,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