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high-performance systems. Proficient in Rust, Solana, PostgreSQL, Docker, and CI/CD practices. Exceptional ownership of backend architecture and performance optimization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production Solana programs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backend architecture for transaction-heavy systems,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for live systems, emphasizing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backend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benchmarking across systems to maintain high standards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technical guidance and direction in backend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transaction handling mechanisms on the </w:t>
      </w:r>
      <w:r>
        <w:rPr>
          <w:rFonts w:asciiTheme="minorHAnsi" w:hAnsiTheme="minorHAnsi" w:cstheme="majorHAnsi"/>
          <w:b/>
          <w:bCs/>
          <w:lang w:val="en-US"/>
        </w:rPr>
        <w:t xml:space="preserve">Solana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blockchain to optimize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security-first development practices, focusing on blockchain and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to align engineering efforts with product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 and architectural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for data-intensive applications, ensuring reliability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CI/CD processes, improving deployment speeds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tools to enhance system reliability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and maintained documentation for backend services and architecture diagrams.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fintech applications, focusing on security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efficient relational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continuous integration processes to promote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resulted in a 15%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Solana, gRPC, REST,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Benchmarking,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