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Applied Scientist with 11+ years of experience in machine learning and computer vision. Proficient in Python, TensorFlow, and PyTorch, with a solid track record in developing innovative models for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virtual touring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user requirements into research objectives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and created robust evaluation pipelines to measure model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computer vision tasks and spatial data processing in virtual home tours.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researchers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best practices, boosting team competency.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ML models into production systems, ensuring scalability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image processing algorithms to extract structured data from multimedia content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deployed models based on user feedback and real-world data using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enhance development workflows and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technical insights to both technical and non-technical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machine learning community by publishing papers and participating in conferences.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innovative machine learning solutions focused on computer vision challenges,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features for virtual experiences, enhancing user engagement through ML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machine learning methodologies and experimental design,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production-level data pipelines for real-time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robust statistical methods to experiment design, ensuring reliable model evaluation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engaged with product teams to identify feature requirements driven by user experience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 processing systems, employing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enhancements on existing ML models leading to a 15% performance increase.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focusing on spatial understanding and real-time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systems for data acquisition, processing, and visualization to support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on key projects involving user experience improvements through AI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robust testing strategies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maintain code integrity and collaboration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 workflows, ensuring systems operated seamlessly in live environments, achieving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TensorFlow, PyTorch, scikit-learn, OpenCV,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Computer Vision &amp; AI</w:t>
      </w:r>
      <w:r>
        <w:rPr>
          <w:rFonts w:asciiTheme="minorHAnsi" w:hAnsiTheme="minorHAnsi" w:cstheme="majorHAnsi"/>
          <w:lang w:val="en-US"/>
        </w:rPr>
        <w:t xml:space="preserve">: Deep Learning, Image Processing, Computer Vision,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 Notebooks, DataRobot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