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Applied Machine Learning Engineer with over 11 years in machine learning, AI, and software engineering. Proficient in building LLM-powered solutions with RAG, Python, and TensorFlow to drive data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document review and analysis in litigation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systems enabling corpus-level reasoning for large document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explainable AI outputs in sensitive data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decision-support workflows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confidence thresholds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human judgment for risk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solutions with real-world litigation practices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system performance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audits and implemented enhancements based on user feedback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architectural best practices and agile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for model performance monitoring and improving outputs through user input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grounded outputs and citation techniques for defensible legal decisions in complex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initiatives ensuring maintainability and operational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machine learning algorithms and features, enhancing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legal teams to interpret compliance requirements into measurable ML behaviors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machine learning best practices, fostering a culture of collaboration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models for document classification and analysis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lifecycle of machine learning solutions, ensuring high-quality deliverables using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training data preparation processes and model tuning for optimal performance in eDiscovery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strategies to enhance the robustness of deployed models across varying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feature sets and ML model integration for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machine learning applications focusing on data-driven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software deployment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analysis to deployment of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across the organization to improve product offerings through enhanced data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ML model performance and suggested optimizations for efficiency and effectiveness in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project milestones, delivering features that improved data interaction and insights for users.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Generative AI, Retrieval-Augmented Generation (RAG), Large Language Models (LLMs), Deep Learning, Natural Language Processing (NLP)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Jupyter, scikit-learn,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eDiscovery, Data Migration, NoSQL Databases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