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11+ years in applied AI solutions, specializing in Python, RAG, and LLM integrations. Proven track record in designing scalable systems and mentoring teams to adopt AI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ensuring performance and reliability metrics meet stakeholder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AI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 APIs to enhance application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AI safety and best coding practices, fostering a culture of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monitoring frameworks to evaluate AI performance, addressing biases and ensuring ethical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 new AI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scale them to production environments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align AI project timelines with business goals and delivery schedules.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compliance with best practices in AI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Run experiments to assess innovative AI tools, rapidly prototyping features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architectural decisions, creating a foundational AI ecosystem that enhances application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CI/CD processes, implementing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comprehensive documentation for AI solutions to support knowledge sharing and onboarding.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complex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scalable and maintainable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the application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effective coding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components and managed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functionalities, improving product user experience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leadership on AI project scopes and timelines, ensuring resource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robust APIs for AI services, enhancing application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and integration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contributing insights toward the development of best practices in AI tooling.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performance metrics for AI models by deploying evaluation frameworks and monitoring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focused on AI-driven user applications, achieving high reliability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 settings to ensure timely feature delivery and adherence to project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migrated to newer technologies handling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user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testing and user acceptance testing, providing detailed feedback to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development processes, improving team efficiency and transparency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system efficiency through optimizing existing algorithms and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TypeScript,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TensorFlow, PyTorch, Flask,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Technologies</w:t>
      </w:r>
      <w:r>
        <w:rPr>
          <w:rFonts w:asciiTheme="minorHAnsi" w:hAnsiTheme="minorHAnsi" w:cstheme="majorHAnsi"/>
          <w:lang w:val="en-US"/>
        </w:rPr>
        <w:t xml:space="preserve">: LLMs, RAG, Natural Language Processing (NLP),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Mockito,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