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11 years of experience in architecting and deploying AI systems, focusing on Retrieval-Augmented Generation (RAG), FastAPI, and cloud environments such as AWS. Proven ability to develop privacy-first solutions that ensure compliance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autonomous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citation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complex AI workloads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strict-source-following pipelines utilizing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evaluation pipelines measuring accuracy and compliance for AI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privacy principles across AI stack, aligning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AI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identify and implement privacy-first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model performance and reliability with proactive monitoring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guardrails and validation layers to enhance reliability in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refine deployment processes based on feedback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to foster innovation in privacy-driven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deliver AI capabilities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AI principles and practices within RAG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evaluation frameworks to measure performance metrics including latency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autonomous AI agents focused on enhancing user experience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privacy-enhancing technologies (PETs) in all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compliance teams to maintain data sovereignty and secure handling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the integration of AI systems with existing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for AI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processing pipelines ensuring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environments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enhance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AI model integration into existing applications,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team practices, enhancing collaboration on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LangGraph, TensorFlow, PyTorch,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ML</w:t>
      </w:r>
      <w:r>
        <w:rPr>
          <w:rFonts w:asciiTheme="minorHAnsi" w:hAnsiTheme="minorHAnsi" w:cstheme="majorHAnsi"/>
          <w:lang w:val="en-US"/>
        </w:rPr>
        <w:t xml:space="preserve">: Retrieval-Augmented Generation (RAG), Evaluation Frameworks, Data Anonymization, Knowledge Graphs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Monitoring,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