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building production-grade AI systems. Proficient in AWS Lambda, Python, React, and PostgreSQL. Demonstrated expertise in RAG systems, hybrid search architectures, and AI-augmented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production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integrating enterprise data to improve retrieval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hybrid search pipelines combining </w:t>
      </w:r>
      <w:r>
        <w:rPr>
          <w:rFonts w:asciiTheme="minorHAnsi" w:hAnsiTheme="minorHAnsi" w:cstheme="majorHAnsi"/>
          <w:b/>
          <w:bCs/>
          <w:lang w:val="en-US"/>
        </w:rPr>
        <w:t xml:space="preserve">BM25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semantic retrieval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evaluation pipelines and quality benchmarks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feedback loops to monitor retrieval performance, costs, and system health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design discussions to elevate platform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AI-powered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 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and testing standards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pipelines to continuously deliver high-quality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AI agent capabilities through deterministic execution and safe tool invocation.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focusing on AI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a scalable backend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enhancing application usability and responsiveness for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quality and best practices in applied AI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structured tool invocations for AI agents, optimizing for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hybrid search implementations combining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BM25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embedding-based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of AI services, enhancing overall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 processes to ensure 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seamless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with automated testing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system architecture for future reference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LlamaIndex,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OpenTelemetry,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