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Security Software Engineer with 11+ years in software and infrastructure security. Skilled in designing security controls, API development, and cloud architecture across AWS, Azure, and GCP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</w:t>
      </w:r>
      <w:r>
        <w:rPr>
          <w:rFonts w:asciiTheme="minorHAnsi" w:hAnsiTheme="minorHAnsi" w:cstheme="majorHAnsi"/>
          <w:b/>
          <w:bCs/>
          <w:lang w:val="en-US"/>
        </w:rPr>
        <w:t xml:space="preserve">security primitives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MongoDB Atlas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secure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eBPF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SELinux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reinforce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automation tools for managing </w:t>
      </w:r>
      <w:r>
        <w:rPr>
          <w:rFonts w:asciiTheme="minorHAnsi" w:hAnsiTheme="minorHAnsi" w:cstheme="majorHAnsi"/>
          <w:b/>
          <w:bCs/>
          <w:lang w:val="en-US"/>
        </w:rPr>
        <w:t xml:space="preserve">security posture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scale including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projects from design to implementation, focusing on security architecture and safeguards.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SRE and product teams to establish secure architectures for new services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security best practices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security via automation, resulting in a more robust security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responses and postmortems to ensure high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security best practices and infrastructure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security initiatives for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automation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scalable security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secure coding standards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vulnerability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bolster infrastructure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security protocols into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security metrics and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risk assessments to identify potential threats.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applications to secure hosting environments while maintaining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for automated testing of security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secure practices while working with relational databases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individual performance improvements, leading to a 15% increase in application resilience.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Kubernetes, eBPF, SELinux, AppArmor,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Splunk, Victoria Metrics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Infrastructure as Code, Vulnerability Management, Security Posture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