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backend systems and API development. Proven expertise in TypeScript, Rust, PostgreSQL, and blockchain technologies. Specializes in scalable architecture, performance optimization, and mentoring teams to deliver secure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development of scalable backend services utilizing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evolve architecture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and microservices.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mission-critical projects end-to-end, focusing on security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improvements to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senior engineers on best coding practices and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leadership to align technical direction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complex performance challenges through observability tools and logging.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robust APIs ensuring high availability and reliability in financial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best practices in backend systems and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 engineering in client discussions, advocating for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providing constructive feedback to enhance code quality.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APIs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productivity and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drive architectural changes in existing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high-performance data handling and storage.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developing CI/CD pipelines with </w:t>
      </w:r>
      <w:r>
        <w:rPr>
          <w:rFonts w:asciiTheme="minorHAnsi" w:eastAsia="Times New Roman" w:hAnsiTheme="minorHAnsi" w:cs="Times New Roman"/>
          <w:b/>
          <w:bCs/>
          <w:lang w:val="en-US"/>
        </w:rPr>
        <w:t xml:space="preserve">GitLab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frequency.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performance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query response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Researched and applied security measures focused on data protection and access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microservices architecture to streamline development.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RESTful APIs, improving response times and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 deployment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application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microservice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data models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flexibility.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30% reduction in system downtime through proactive monitoring and troubleshooting.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Rust, Go, C++,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DynamoDB, NoSQL,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Jenkins, GitLab CI, CircleCI,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RESTful APIs, Event-Driven Architecture, Cryptography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