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building AI-powered systems and delivering high-quality software. Proficient in Python, Node.js, React, and event-driven architecture, with a strong focus on clean code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established coding standards across engineering teams, raising quality and consistency in code contributions.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on complex technical challenges, ensuring alignment and prioritization across domains and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multiple technical leads, improving their technical decision-making and coding practices through hands-on guidance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solutions within an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system performance for over 1 million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reducing lead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to uphold engineering excellence, decreasing defect escape rates and improving code quality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shared services and APIs, fostering reusability and modularity within core platform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modernization efforts, including service decomposition, to enhance platform adaptability and future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debugged production-level incidents, effectively reducing mean time to resolution by implementing improved monitoring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robust documentation for system architectures and operational processes, enhancing onboarding and project initiation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critical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applying best practices for UI/UX and backend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while improving their coding skills and knowledge of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decisions that balance performance with maintainability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and performance monitoring solutions, ensuring reliability and responsiveness of key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scalable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various front-end technologies, enhancing overall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delivery timelines and testing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cross-domain projects, ensuring seamless integration between product and platform teams on intricate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technical solutions to stakeholders, facilitating clear communication of concepts and progress.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troubleshooting and resolving issues to ensure peak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team meetings to discuss project progress and share knowledge with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from legacy systems to more scalable platforms, improving data accessibility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 to protect business-critical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knowledge sharing within the team, promoting collective understanding of the codebase.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Django, Flask,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Terraform,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AWS, Azure, Heroku, Docker Compose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PyTorch, OpenAI 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