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building cloud-native applications and AI agents. Expertise in TypeScript, Node.js, and AWS significantly enhances performance and reliability. Proven track record in CI/CD, DevOps, and security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designed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testing and deployment with robust quality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secure </w:t>
      </w:r>
      <w:r>
        <w:rPr>
          <w:rFonts w:asciiTheme="minorHAnsi" w:hAnsiTheme="minorHAnsi" w:cstheme="majorHAnsi"/>
          <w:b/>
          <w:bCs/>
          <w:lang w:val="en-US"/>
        </w:rPr>
        <w:t xml:space="preserve">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privacy-by-design,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observability solutions for AI systems, improving responsiveness and reliability during critical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product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interfaces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server-side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tooling for iterative evaluation and testing of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based on real-world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ensure adherence to security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privacy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systems to identify bottlenecks and streamline workflows through systematic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platform capabilities and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code reviews and design discussions, driving innovation and architectural standards across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real-time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for improving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operational costs by ensuring resource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implementing quality engineering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ensure applications met client expectations and usability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support rapid development cycles, increasing deployment frequency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data handling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coding standards and led architectural discussions to improve system design and security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careful analysis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 utilization and directly impacted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user-centered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in a fast-paced environment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ensuring alignment with system architecture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migrate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test strategies that resulted in a 25% decrease in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that improved internal workflows and increased operational efficiency by defining clear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Rust,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LangChain, LangGraph,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DocumentDB, DynamoDB, OpenSearch, Azure AI 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Site Reliability Engineering, Quality engineering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