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Principal Engineer with over 11 years of experience in architecting and developing high-scale backend systems using Java, Spring Boot, and Kubernetes. Proven expertise in driving CI/CD practices, performance optimization, and secure software development aligned with industry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own the technical architecture for backend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reviews and produce Architecture Decision Records (ADRs) for platform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engineering initiatives, optimizing load testing and maintaining platform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standards and coding guidelines, fostering a culture of code quality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hands-on to complex features across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while maintaining architectural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recommend emerging technologies that enhance performance and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primary technical liaison between US and global R&amp;D teams to ensure alignment on project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guiding their technical growth and ensuring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security by implementing secure-by-design principles aligning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CI/CD strategy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to enhance deployment reliability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technical strategies align with overall product vision.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ASP.NET Core, React, Ext 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OWASP, OAuth 2.0, IAM, Zero Trust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Prometheus, Grafana,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