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embedded systems development. Expertise in C, RTOS, and Linux optimizations for mission-critical applications. Proven track record in architectural design, performance tuning,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refactor real-time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RTOS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embedded systems performance for customer projects by applying advanced </w:t>
      </w:r>
      <w:r>
        <w:rPr>
          <w:rFonts w:asciiTheme="minorHAnsi" w:hAnsiTheme="minorHAnsi" w:cstheme="majorHAnsi"/>
          <w:b/>
          <w:bCs/>
          <w:lang w:val="en-US"/>
        </w:rPr>
        <w:t xml:space="preserve">benchmarking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code reviews, ensuring adherence to architectural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embedded development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 with customer teams for requirement gathering and project goal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automation of testing processes, improving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root cause analysis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on complex system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proposals to guide customers in their product lifecycle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comprehensive software documentation for better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pre-sales discussions, estimating technical feasibility of projects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internal teams to enhance overall project experience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life cycles and debugging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optimization initiatives that improved runtime efficiencies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device drivers and bootloaders for various embedded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deliver high-quality software from concept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CI practices into development processes, streamlining deploys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risk assessments of new technologies and tools for project impact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architectures and technical specifications, enhancing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embedded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migrations and upgrades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hardware/software interface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oscilloscopes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diagnostic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code quality and maintainability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project goals with technical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and deliver tailored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RTOS, Android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Yocto, Buildroot, OpenEmbedded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Performance tuning, Benchmarking,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Software documentation, Technical troubleshooting, Cross-functional collaboration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DevSecOps, Agile methodologies,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