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AWS, Kubernetes, Terraform, and CI/CD methodologies. Proven track record in establishing SRE practices and automating incident management processes. Experienced in building reliable infrastructures for SaaS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by defining severity tiers and establishing incident workflows for a team of 4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L1/L2 operational responses using </w:t>
      </w:r>
      <w:r>
        <w:rPr>
          <w:rFonts w:asciiTheme="minorHAnsi" w:hAnsiTheme="minorHAnsi" w:cstheme="majorHAnsi"/>
          <w:b/>
          <w:bCs/>
          <w:lang w:val="en-US"/>
        </w:rPr>
        <w:t xml:space="preserve">Rundeck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SLA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tracking dashboards to improve service reliability and response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infrastructure modernization initiatives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upgrades and observability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support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and manage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AI-assisted DevOps tools for alert correlation and cost optimization in cloud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round-the-clock coverage model as enterprise commitments evolve, assessing vendor partnerships.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document runbooks for top operational issues, improving team response to recurring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SRE tools and frameworks, enhancing team capabilities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 code quality and operational readiness. “],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improving team performance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runbooks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operational processes, significantly enhancing team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infrastructure changes to optimize costs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Cost Management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incident management procedures and runbook development, ensuring faster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stacks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enterprise-level discussions on scalability and performance management for SaaS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enhancing deployment strategies and operational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integrated features into microservices architecture, improving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CI/CD processes to streamline development cycles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resiliency and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migration projects, ensuring seamless transitions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performance enhancements, achieving a measurable reduction in latency.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new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backup strategies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 improvements reducing deployment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consistent testing methodologies were applied.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ensuring clarity in feature specifications and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EC2, Terraform, ArgoCD,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Docker, Helm, Karpenter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CI, PagerDuty, Shoreline, Rundeck,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Prometheus, Grafana, Datadog, SigNoz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Vanta,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