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Principal AI Engineer with over 11 years of experience in architecting and implementing robust AI systems. Proficient in LangGraph, OpenAI, and observability tools, focused on agent-driven solutions in healthcare contexts.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agentic systems, enabling direct participation in healthcare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for agent evaluation and operational reliability across multi-agent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engineers, influencing technical direction for agent-driven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reusable platform capabilities, balancing architecture with rapid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Langfuse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LangSmith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evaluation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continuous integration and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releases and high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managers to translate complex workflows into reliable agent behavior, ensuring clarity in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evaluations and improvement loops for </w:t>
      </w:r>
      <w:r>
        <w:rPr>
          <w:rFonts w:asciiTheme="minorHAnsi" w:hAnsiTheme="minorHAnsi" w:cstheme="majorHAnsi"/>
          <w:b/>
          <w:bCs/>
          <w:lang w:val="en-US"/>
        </w:rPr>
        <w:t xml:space="preserve">agentic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within regulated healthcare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end-to-end AI solutions with measurable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metrics and evaluation frameworks to guide architectural decisions and performance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multi-agent systems in production, enhancing user engagement and care coordination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components,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implementation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coding and AI system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designs for scalable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operations to ensure system performance under real-world conditions, utilizing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refine product requirements and translate them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core system functionalities and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to improve performance and reduce downtime for production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through automated testing and continuous integration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optimized algorithms for improved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functional teams to identify and resolve integration issues prior to launch.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metrics frameworks to evaluate system reliability and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LangGraph, OpenAI, Claude Agents SDK, Langfuse,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LangSmith, Braintrust,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