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in building ML systems and infrastructure, utilizing Kubernetes, Airflow, and Ray. Expertise in translating research into production-ready solutions while optimizing performance and costs.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the internal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environment, enhancing instrumentation and experimentation capacities.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performance benchmarking mechanisms to evaluate model efficacy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research teams to transition models into production, establishing performance gates and rollout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refined processes for maintaining security and quality assurance in deployed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cost and performance trade-offs in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computations.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building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deploying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agent orchestration frameworks to facilitate intelligent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quality and architecture decisions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with business objectives and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knowledge sharing by presenting insights at team retrospectives and engineering meetings.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inference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research team's output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infrastructure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deployment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tracking and benchmarking frameworks facilitating experimental work for the research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Liaised with MLOps to establish effective contracts for model handoffs and rollout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visualization and reporting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the deployment process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reviews of model performance metrics, proposing enhancements for future iterations.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components focusing on data preprocessing and model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maintenance procedures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ensure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research models into production-ready formats with detailed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meetings to align development efforts with strategic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implementing testing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model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new algorithms achieving a 30% enhancement in prediction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Containers</w:t>
      </w:r>
      <w:r>
        <w:rPr>
          <w:rFonts w:asciiTheme="minorHAnsi" w:hAnsiTheme="minorHAnsi" w:cstheme="majorHAnsi"/>
          <w:lang w:val="en-US"/>
        </w:rPr>
        <w:t xml:space="preserve">: Docker, Kubernetes, Airflow, Ray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MLflow,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pytest, Selenium,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