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Legal AI Engineer with 11+ years of experience in legal technology, specializing in developing AI-powered workflows and prompt engineering using Microsoft Copilot, Legora, and Harvey. Skilled in collaborating with attorneys to enhance legal services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AI-powered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Harvey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legal service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practice groups to implement and refine </w:t>
      </w:r>
      <w:r>
        <w:rPr>
          <w:rFonts w:asciiTheme="minorHAnsi" w:hAnsiTheme="minorHAnsi" w:cstheme="majorHAnsi"/>
          <w:b/>
          <w:bCs/>
          <w:lang w:val="en-US"/>
        </w:rPr>
        <w:t xml:space="preserve">Microsoft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aligned with legal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prompt libraries and best practices, fostering knowledge sharing across the firm.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tested AI workflows to ensure adherence to legal and ethical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intake sessions to prioritize AI initiatives with impactful outcomes,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CoCounsel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cross-team collaborations to integrate AI solutions, improving legal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attorneys on effective usage of AI tools, enhancing overall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project timelines and metrics, reporting status to senior management on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for accuracy and compliance of AI-generated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AI developments to maintain the firm's strategic technology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IT for seamless implementation and troubleshooting of AI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legal practice efficiency by developing AI-centered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AI tool implementations, focusing on best practices in prompt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attorneys to translate legal requirements into technical specifications,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programs to empower users in leveraging AI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mechanisms to continually improve ML-built legal frameworks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AI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NetDocuments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firm-wide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legal processes to identify opportunities for AI-driven improvements, streamlining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legal technology platforms to support enhanced user experience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legal applications and processes to align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AI systems, ensuring minimal disruption and continued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technical challenges and implement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hands-on support for legal software systems, troubleshooting and resolving user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existing processes, leading to a 30% increase in task efficiency through optimized legal tech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Copilot, Legora, Harvey, CoCounsel, NetDocuments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