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the insurance industry. Expertise in C#, .NET, Azure, SQL, and cloud-native architectures. Proven track record in leading teams, driving best practices, and delivering robust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technical leadership for cross-functional teams, guiding architecture decisions for service-oriented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efficient CI/CD pipelines to automate deployments, improving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modern software development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reviews and design sessions, ensuring adherence to enterprise architecture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microservices in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an emphasis on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 as the primary technical liaison between engineering and architecture teams, driving alignment on software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 a DevOps culture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technologies into the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high code quality through rigorous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code reviews, enhancing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maintain database solutions in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queries for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knowledge-sharing sessions to keep the team updated on new technologies and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the </w:t>
      </w:r>
      <w:r>
        <w:rPr>
          <w:rFonts w:asciiTheme="minorHAnsi" w:hAnsiTheme="minorHAnsi" w:cstheme="majorHAnsi"/>
          <w:b/>
          <w:bCs/>
          <w:lang w:val="en-US"/>
        </w:rPr>
        <w:t xml:space="preserve">Site Reliability Engineer (SRE)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function, ensuring operational efficiency through monitoring and incident management.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 and implement key components of a web application stack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enhancing their technical skillsets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CI/CD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translate business requirements into technical specifications and actionable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employing efficient database indexing and query optimization techniques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upgrade legacy applications to modern architectures, ensuring compliance with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fostering an environment of continuous improvement and collaborative problem-solving.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Authored technical documentation to support system architecture and application features.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new features for an enterprise insurance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legacy code for improved performance and reliability, resulting in 30% faster response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secure, scalable, and maintainable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reviews, ensuring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SOLID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 and industry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access, implementing best practices for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traditional monolithic architectures to modern microservice-based designs.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.NET,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Core, Entity Framework,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CI/CD,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