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Spark, AWS, and data infrastructure. Proven ability to design ETL pipelines and ensure data quality while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ETL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platform, optimizing performance and ensuring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and stakeholders to gather requirements and deliver effective and reliable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infrastructure,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AWS EMR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and governance standards were met across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data solutions by applying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and operational excellence initiatives to enhance data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continuous improvement strategies for data infrastructure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engineers in data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systems and processes to improve team knowledge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for data pipelines, focusing on performance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 to align data initiatives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quality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data architecture and pipeline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build data products that served marketing and fraud detection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to improve data storage efficiency and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processing tasks, improving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implement scalable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processes, resulting in a 20% increase in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stakeholder meetings, translating complex data needs into actionable engineering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pipelines, ensuring service continuity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analyze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improving code quality and team knowledge.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processing times through data pipeline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Frameworks</w:t>
      </w:r>
      <w:r>
        <w:rPr>
          <w:rFonts w:asciiTheme="minorHAnsi" w:hAnsiTheme="minorHAnsi" w:cstheme="majorHAnsi"/>
          <w:lang w:val="en-US"/>
        </w:rPr>
        <w:t xml:space="preserve">: Spark, Hadoop,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EMR, S3, Lambda,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Data Architecture, ETL, Data Quality,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Data Pipeline Monitoring,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