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expertise in SQL, Tableau, and A/B testing. Proven track record in driving user growth and enhancing subscription experiences using data-driven insights and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growth of </w:t>
      </w:r>
      <w:r>
        <w:rPr>
          <w:rFonts w:asciiTheme="minorHAnsi" w:hAnsiTheme="minorHAnsi" w:cstheme="majorHAnsi"/>
          <w:b/>
          <w:bCs/>
          <w:lang w:val="en-US"/>
        </w:rPr>
        <w:t xml:space="preserve">subscriptions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analyzing user paths and optimizing post-subscription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and maintain dashboards for monitoring key </w:t>
      </w:r>
      <w:r>
        <w:rPr>
          <w:rFonts w:asciiTheme="minorHAnsi" w:hAnsiTheme="minorHAnsi" w:cstheme="majorHAnsi"/>
          <w:b/>
          <w:bCs/>
          <w:lang w:val="en-US"/>
        </w:rPr>
        <w:t xml:space="preserve">subscription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metrics for performance measurement.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A/B tests to evaluate product changes using data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gaps in data infrastructure and advocate for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presentations to stakeholders that translate complex data into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Slides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analytic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data quality audits to ensure integrity and accuracy of subscription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</w:t>
      </w:r>
      <w:r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preparing data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building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architecture of data pipelines that streamline reporting and analytics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organizational data literacy and cultivate a data-driven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engagement metrics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identify opportunities for feature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subscription-related features and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visualization and analytics framework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data insights with strategic initiatives and product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 to measure feature effectiveness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consistency and reliability across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high-impact business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metrics and KPIs to track A/B test results and optimize marketing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impactful reports and presentations to showcase data findings to executive leadership.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through data-driven insights, improving core functionalities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innovative analytics solutions to enhance product performance in line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to improve insights on user behavior and retention rates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quality and integrity in various analytics tools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new features, ensuring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collection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drove user adoption by 25% through targeted insights and recommendations.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r>
        <w:rPr>
          <w:rFonts w:asciiTheme="minorHAnsi" w:hAnsiTheme="minorHAnsi" w:cstheme="majorHAnsi"/>
          <w:lang w:val="en-US"/>
        </w:rPr>
        <w:t xml:space="preserve">: SQL Server, MySQL, PostgreSQL, Microsoft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BI Tools</w:t>
      </w:r>
      <w:r>
        <w:rPr>
          <w:rFonts w:asciiTheme="minorHAnsi" w:hAnsiTheme="minorHAnsi" w:cstheme="majorHAnsi"/>
          <w:lang w:val="en-US"/>
        </w:rPr>
        <w:t xml:space="preserve">: Google Analytics, Mixpanel, Amplitude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Scikit-learn, TensorFlow,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Version Control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