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reliable AI-powered systems using Python, TypeScript, and AWS. Proven expertise in architecture design and operationalization of complex workflows, ensuring compliance and performance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primary AI engineering partner to executives, translating strategic AI ideas into production-ready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Independently design and implement multi-agent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AI systems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performance, and clean engineering practices,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 AI systems with guardrails for compliance and reliability across production environments,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Security and Legal teams to implement robust access controls and audit logging for sensitive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ambiguous executive-level problems into structured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select AI tools and platforms to enhance enterprise efficiency, ensuring alignment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post-launch iterative processes, continuously improving performance and usability of AI workflows through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patterns and best practices to elevate organizational AI maturity across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AI integration and production deployment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cross-functional collaboration to ensure alignment of AI projects with business goals and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AI-driven educational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software development and AI integration,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multi-step workflows,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functions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between AI capabilities and organizational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enhance software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resources to improve system performance, ensuring cost-effective delivery of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data management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processes to streamline feature releases, improving deployment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backend systems enhancing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across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frontend development to create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robustness and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storage solutions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migration projects to improve system scalability and reduce costs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processes, implementing testing frameworks to ensure high-quality deliverables through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for effective integration of systems, improving efficiencies and addressing technical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Reinforcement Learning, AI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Flask,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Jupyter,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