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system architecture and development. Expertise in building scalable applications using Java 8+, Spring Boot, GCP, Kubernetes,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established best practices for CI/CD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front-end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backend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and configurations on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utilization across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implementing distributed tracing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code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cloud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with Continuous Integration tools, promoting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messaging patterns to handle real-time data processing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persistence with </w:t>
      </w:r>
      <w:r>
        <w:rPr>
          <w:rFonts w:asciiTheme="minorHAnsi" w:hAnsiTheme="minorHAnsi" w:cstheme="majorHAnsi"/>
          <w:b/>
          <w:bCs/>
          <w:lang w:val="en-US"/>
        </w:rPr>
        <w:t xml:space="preserve">Cloud Spanner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high-availability applications, improving transaction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 healthcare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front-end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design patterns and microservices principles, fostering innovative solutions and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improving functionality and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 and event management across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established quality assurance protocols, elevating overall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monitoring of applications, identifying and resolving bottlenecks.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Java applications, focusing on optimal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features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code coverage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software defects, providing high-quality solutions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ensuring knowledge transfer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GKE,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lang w:val="en-US"/>
        </w:rPr>
        <w:t xml:space="preserve">: Microservices,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Cloud Spanner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