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developer with over 11 years in backend architecture and development using Java, Spring Framework, and Spring Boot. Skilled in building scalable systems and leading cross-functional teams to deliver quality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and architect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ensuring adherence to coding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maintainable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on design for </w:t>
      </w:r>
      <w:r>
        <w:rPr>
          <w:rFonts w:asciiTheme="minorHAnsi" w:hAnsiTheme="minorHAnsi" w:cstheme="majorHAnsi"/>
          <w:b/>
          <w:bCs/>
          <w:lang w:val="en-US"/>
        </w:rPr>
        <w:t xml:space="preserve">single-page applications (SPA)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modern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efforts on legacy systems while transitioning to optimized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execute comprehensive test plans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local development environments to increase efficiency of onboarding new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Effectively communicate technical concepts to stakeholders in fluent English during collaboration across time zones.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workload flexibly to accommodate meetings with international clients and project contributors.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high-performance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 mentorship role, assisting junior developers with technology stacks and coding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supported front-end teams by providing backend services and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for data persistence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optimized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on CI/CD strategies while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testing procedures to ensure quality of deliverables, enhancing overall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 and agile methodologies in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architectural discussions, contributing to design patterns and approaches for new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client-specific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maintenance and upgrades, improving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migrations from legacy code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CI/CD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completion within timelines and specifications, receiving positive client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Spring Boot,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