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Infrastructure Engineer with over 11 years of experience in scalable cloud architectures. Proficient in AWS, Terraform, Kafka, and PostgreSQL with a focus on security and compliance, especially in FedRAMP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the evolution of Ramp's infrastructure to enhance government environment support, meeting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secure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patterns, increasing efficiency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a culture of compliance and security within the infrastructure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scaling initiatives involving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abstractions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architecture to improve developer velocity and ownership.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critical production events through proactive monitoring and effective incident management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across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security measures in infrastructure, focusing on encryption and access control according to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and reviewed design documents for high-impact projects, ensuring clarity and alignment with operational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infrastructure coding, enhancing code quality via rigorous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an on-call rotation, effectively decreasing response times to critical system failures.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operated resilient cloud infrastructure compliant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security controls.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Infrastructure-as-Code, enhancing deployment consistency and traceability.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infrastructure management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engineering functions to introduce cloud-native technologies, improving system reliability and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infrastructure management, reducing manual overhead and error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performance and security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scaling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contributing to improved application latency and throughput.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architecture decisions aligned with security benchmarks.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infrastructure projects,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 integrations and deployment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that improved deployment frequency and reduced rollback incidents.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migrate legacy systems to modern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that enhanced monitoring and observability of cloud resources.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engaged in troubleshooting and optimizing cloud systems during production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security protocols under guidance, successfully monitoring two critical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Amazon Aurora,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&amp; Streaming</w:t>
      </w:r>
      <w:r>
        <w:rPr>
          <w:rFonts w:asciiTheme="minorHAnsi" w:hAnsiTheme="minorHAnsi" w:cstheme="majorHAnsi"/>
          <w:lang w:val="en-US"/>
        </w:rPr>
        <w:t xml:space="preserve">: Kafka, Celery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FedRAMP, Security Best Practices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Cloudflare, Elasticache, Service Discovery, ECS, EKS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