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professional with over 11 years in industry partnership management, leveraging market intelligence, workforce development, and cross-functional collaboration to drive growth. Proficient in negotiation and developing strategic employer relationships in the aviation sector.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 portfolio of aerospace partnerships, cultivating relationships that align with strategic educational initiatives across multiple campuses.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execute engagement plans with key employers, driving hiring pipeline targets and revenue opportunities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CRM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Negotiate terms for workforce development agreements and sponsorships, maximizing employer investment in partnership with campus leadership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performance reviews with partners, leveraging market intelligence to adjust strategies and enhance engagement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academic leadership and regional managers to ensure alignment of partnership initiatives with institutional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new opportunities in the aerospace sector and develop expansion strategies to enhance Cotulla Education's market presence.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presentations to executive stakeholders, providing insights and recommendations based on industry trends and performance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partnership-related activities and metrics in management systems to ensure compliance and tracking of objectives and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training for campus teams on partnership strategies, promoting a unified approach to employer engagement and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innovative partnership models, exploring new avenues for growth and collaboration within the aerospace landscape.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national reporting initiatives, contributing insights from regional performance to inform broader strategic planning.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engagement strategies for aerospace partnerships, increasing employer participation in training programs and hiring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effective partnership cultivation and management practices, fostering a collaborative team environment focused on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partnership proposals, aligning educational offerings with employer workforce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negotiations with industry leaders, establishing terms for tuition reimbursement agreements and sponsored training programs.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market trends and competitor activity to inform strategic decisions and enhance partnership effectiveness across the aviation sector.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execution of training pipelines, ensuring successful scaling of initiatives across multiple campuses in alignment with employer commitments.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metrics for partnership performance, leading regular reviews to monitor progress against strategic objectives and growth plans.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academic teams to ensure curriculum development aligned with industry needs, driving student success and employability.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workforce development programs, focusing on enhancing employer engagement and student success through structured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partnership frameworks to modern engagement models,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reporting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tracking.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relationships with key industry stakeholders, delivering insights that enhanced collaborative training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outreach strategies aimed at increasing employer participation in educational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analysis of hiring outcomes and partnership performance, identifying areas for improvement and strategic focus.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successful hiring outcomes through effective engagement and implementation of targeted partnership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Industry Expertise</w:t>
      </w:r>
      <w:r>
        <w:rPr>
          <w:rFonts w:asciiTheme="minorHAnsi" w:hAnsiTheme="minorHAnsi" w:cstheme="majorHAnsi"/>
          <w:lang w:val="en-US"/>
        </w:rPr>
        <w:t xml:space="preserve">: Aerospace, Workforce Development, Employer Engagement, Strategic Partnerships, Aviation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CRM Systems, Market Analysis Tools, Collaboration Software, Data Reporting Tools, Communication Software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Development</w:t>
      </w:r>
      <w:r>
        <w:rPr>
          <w:rFonts w:asciiTheme="minorHAnsi" w:hAnsiTheme="minorHAnsi" w:cstheme="majorHAnsi"/>
          <w:lang w:val="en-US"/>
        </w:rPr>
        <w:t xml:space="preserve">: Negotiation, Account Management, Proposal Development, Partnership Growth, Investment Strategies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Engagement Plans, Performance Review, Strategic Alignment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Reporting</w:t>
      </w:r>
      <w:r>
        <w:rPr>
          <w:rFonts w:asciiTheme="minorHAnsi" w:hAnsiTheme="minorHAnsi" w:cstheme="majorHAnsi"/>
          <w:lang w:val="en-US"/>
        </w:rPr>
        <w:t xml:space="preserve">: Performance Metrics, Data Analysis, Market Insights, Engagement Reporting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