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GRC Engineer with over 11 years of experience in Governance, Risk, and Compliance. Expertise in SOC 2, ISO 27001, and cloud security using AWS, GCP, and Azure. Proficient in automation with Python and compliance tooling like Vanta.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compliance programs for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ISO 27001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CMMC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cloud-native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audit readiness by coordinating internal and external audits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evidence collection workflows using </w:t>
      </w:r>
      <w:r>
        <w:rPr>
          <w:rFonts w:asciiTheme="minorHAnsi" w:hAnsiTheme="minorHAnsi" w:cstheme="majorHAnsi"/>
          <w:b/>
          <w:bCs/>
          <w:lang w:val="en-US"/>
        </w:rPr>
        <w:t xml:space="preserve">Vanta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audit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compliance checks into CI/CD pipelines, improving compliance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to design systems aligned with security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risk assessments to identify and mitigate cloud security risks and compliance gaps.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security policies and standards to support governance documentation for compliance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compliance automation and cloud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scripting automated control testing relevant to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security reviews and articulate compliance posture during customer security questionnaires.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vendor risk management through automation of integration audits for third-party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compliance frameworks for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ISO 27001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across cloud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audits and prepared evidence for stakeholder reviews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continuous audit readiness and automated testing protocols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IT and Legal teams to implement compliance controls in system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compliance requirements and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functions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compliance evidence collection.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customer audits by providing detailed compliance documentation and cloud security controls.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integrate </w:t>
      </w:r>
      <w:r>
        <w:rPr>
          <w:rFonts w:asciiTheme="minorHAnsi" w:eastAsia="Times New Roman" w:hAnsiTheme="minorHAnsi" w:cs="Times New Roman"/>
          <w:b/>
          <w:bCs/>
          <w:lang w:val="en-US"/>
        </w:rPr>
        <w:t xml:space="preserve">Vanta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compliance framework, enhancing control visibility.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cloud security controls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AWS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while participating in development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and application audits for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systems to cloud-native solutions while ensuring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testing and validation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address compliance-related concerns.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Frameworks</w:t>
      </w:r>
      <w:r>
        <w:rPr>
          <w:rFonts w:asciiTheme="minorHAnsi" w:hAnsiTheme="minorHAnsi" w:cstheme="majorHAnsi"/>
          <w:lang w:val="en-US"/>
        </w:rPr>
        <w:t xml:space="preserve">: SOC 2, ISO 27001, CMMC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Automation</w:t>
      </w:r>
      <w:r>
        <w:rPr>
          <w:rFonts w:asciiTheme="minorHAnsi" w:hAnsiTheme="minorHAnsi" w:cstheme="majorHAnsi"/>
          <w:lang w:val="en-US"/>
        </w:rPr>
        <w:t xml:space="preserve">: Vanta,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Control Standards</w:t>
      </w:r>
      <w:r>
        <w:rPr>
          <w:rFonts w:asciiTheme="minorHAnsi" w:hAnsiTheme="minorHAnsi" w:cstheme="majorHAnsi"/>
          <w:lang w:val="en-US"/>
        </w:rPr>
        <w:t xml:space="preserve">: NIST 800-53, CIS Benchmarks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