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over 11 years of experience specializing in Ruby on Rails, React, TypeScript, and scalable web applications. Proven track record in managing full application lifecycles and developing mission-critical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new platform capabilities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construction finance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full application lifecycle including end-to-end testing and production monitoring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enhancing code quality and observability across team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implement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type safety, resulting in improved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R&amp;D with emerging technologies, focusing on virtual inspections and daily reporting within the </w:t>
      </w:r>
      <w:r>
        <w:rPr>
          <w:rFonts w:asciiTheme="minorHAnsi" w:hAnsiTheme="minorHAnsi" w:cstheme="majorHAnsi"/>
          <w:b/>
          <w:bCs/>
          <w:lang w:val="en-US"/>
        </w:rPr>
        <w:t xml:space="preserve">construction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reduce lead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and coding standards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technical documentation processes, streamlining onboarding and project transitions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optimizations leading to improved application responsiveness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prototypes to assess new technology integrations and applications for future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teams to shape the roadmap for mission-critical software utilized by top lenders.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new feature implementations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 during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web applications with a focus 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architectural discussions regarding microservices transitions, influencing the long-term tech stack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establish high-quality software delivery for B2B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migration of legacy systems to modern tech stacks, improving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requirements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workflow and communication among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translate designs into functional applications, ensuring fidelity to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related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tooling, enhancing the development community's ecosystem.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availability and performance of client applications through proactive monitoring and debugging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data models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integration of third-party services to provide enhanced functionalities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comprehensive end-user documentation and guides to improve user navigation and address common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productivity by streamlining development processes and enhancing collaboration tools.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React Native, Node.js,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Jenkins, CircleCI, Git,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JIRA, Trello,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