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React, TypeScript, Kotlin, and AWS. Skilled in building accessible, cloud-native applications while leveraging Spring Boot, Python, and FHIR integration for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developed clinician-facing CDS applications, ensuring compliance with WCAG 2.1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integrated with FHIR APIs and </w:t>
      </w:r>
      <w:r>
        <w:rPr>
          <w:rFonts w:asciiTheme="minorHAnsi" w:hAnsiTheme="minorHAnsi" w:cstheme="majorHAnsi"/>
          <w:b/>
          <w:bCs/>
          <w:lang w:val="en-US"/>
        </w:rPr>
        <w:t xml:space="preserve">CDS Hooks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architecture, enhancing systems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enforced coding standards to maintain high-quality code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 and scalability,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deployment efficiency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for applications, resulting in a 20% reduction in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collaborated on architecture decisions, improving overall team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sophisticated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cloud-native deployment patterns to ensure robust and resilient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functionality improvements for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user-friendly interfaces, ensuring compliance with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and component ownership, driving initiatives that improved user engagement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improving data retrieval processes within various education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design and implement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and quality assurance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proactive debugging and code optimization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best practices, resulting in better team communication and effectiveness.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Node.js,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WCAG,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npm, Docker Compose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