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JavaScript, TypeScript, HTML, and CSS. Specializes in building scalable frontend applications, enhancing user experience through performance optimizations and rigorous debugging. Proven ability to collaborate cross-functionally and lead architectural decisions in remote-first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scalable web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responsiveness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frontend solutions for partner integrations, optimizing for reusability and long-term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collaboration with product, design, and engineering teams to deliver high-quality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adherence to best practices and maintaining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build and release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complex issues in browser-specific environments, enhancing compatibility in </w:t>
      </w:r>
      <w:r>
        <w:rPr>
          <w:rFonts w:asciiTheme="minorHAnsi" w:hAnsiTheme="minorHAnsi" w:cstheme="majorHAnsi"/>
          <w:b/>
          <w:bCs/>
          <w:lang w:val="en-US"/>
        </w:rPr>
        <w:t xml:space="preserve">Chrome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Safari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 and improve frontend observability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analytics insight.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user interfaces based on UX feedback, utilizing tools like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design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release management and versioning discussions to align frontend deliverables with partner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modern frontend practices and effective debugging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AI-assisted coding tools to enhance development efficiency and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user-centered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product teams to implement features and enhancements in the core product.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frontend development and cross-browser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web applications, achieving load time reductions through rigorous testing and debugging.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technical design of frontend components to ensure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source control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streamlined team collaboration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analytics instrumentation to track user engagement and improve application effectiveness.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and integration testing to ensure application robustness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 environments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 processes, advocating for clean, maintainable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improving user interface across multiple platforms and devices, resulting in a 20% increase in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Webpack,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Figma,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Sentry, Google Analytics,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