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developing scalable applications. Expertise in Python, AI tools, and navigating regulated sectors like healthcare. Proven leadership in mentoring and driving engineering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architecture decisions for a telehealth platform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aligning product capabilities with strategic growth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features integrating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diagnostics, ensuring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collaborative environment and enhancing team skills in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maximize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focusing on code quality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define software requirements and establish project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cross-functional teams to align technology and product vision, enhancing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metrics through systemic analysis and rigorous testing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microservices architecture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management processes for sensitive user health data in a secure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setting up observability practices, increasing application maintainability.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web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key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software engineering best practices and tool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improving code quality and reducing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architecture decisions for new features, ensuring alignment with business objectives and tech stack.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workshops to promote agile methodologies and effective project management practices among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for improved functionality, enhancing user engagement through innovative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the performance of existing applications, significantly decreasing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to assist in knowledge transfer and onboarding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web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responsive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into technical specifications, ensuring project alignment.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debugging and deploying updates to ensure continuous operation.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more contemporary infrastructures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development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timelines and delivery schedules, aiding in timely releases and stakeholder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Tools</w:t>
      </w:r>
      <w:r>
        <w:rPr>
          <w:rFonts w:asciiTheme="minorHAnsi" w:hAnsiTheme="minorHAnsi" w:cstheme="majorHAnsi"/>
          <w:lang w:val="en-US"/>
        </w:rPr>
        <w:t xml:space="preserve">: TensorFlow, PyTorch, Scikit-learn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