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AI systems, backend architecture, and automation technologies. Proficient in PostgreSQL, AWS, and modern AI development tools like Claude Code and n8n. Proven ability to build scalable systems that enhance operational efficiency and customer satisfaction.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-powered automation systems for tax compliance, enhancing operational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scalable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architecting decisions balancing cost, reliability, and performance for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integrations with external APIs and frameworks to streamline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infrastructure and observability for both AI and backend systems, ensuring high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and design teams to deliver customer-centric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engineering best practices and norms for AI safety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implementing scalable automation workflows using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incorporated advanced </w:t>
      </w:r>
      <w:r>
        <w:rPr>
          <w:rFonts w:asciiTheme="minorHAnsi" w:hAnsiTheme="minorHAnsi" w:cstheme="majorHAnsi"/>
          <w:b/>
          <w:bCs/>
          <w:lang w:val="en-US"/>
        </w:rPr>
        <w:t xml:space="preserve">AI development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supported cross-team collaborations on major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 culture of ownership and accountability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significant features with a focus on performance and scalability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around automation and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architecture, deploying them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utilizing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on project goals and feature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 for performance improvements and reduction of technical debt.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workflow automation tools like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reliability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customer-facing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to support internal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 and improved system performance through refactoring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resolve issues and improve product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initiatives and documentation for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across various platforms to enhance system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Go,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 n8n,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LLMs, Claude Code, TensorFlow, model orchestration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Slack, Headspace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