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enterprise software and AI solutions. Proficient in AWS, Azure, GCP, and microservices architecture. Specializes in scalable systems, integration patterns, and customer-facing technical leadership. Proven ability to design, prototype, and implement innovative solutions using cutting-edge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the </w:t>
      </w:r>
      <w:r>
        <w:rPr>
          <w:rFonts w:asciiTheme="minorHAnsi" w:hAnsiTheme="minorHAnsi" w:cstheme="majorHAnsi"/>
          <w:b/>
          <w:bCs/>
          <w:lang w:val="en-US"/>
        </w:rPr>
        <w:t xml:space="preserve">Kore.ai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for Fortune 500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high availability and disaster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prototyped innovative system integrations, optimizing for performance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workshops and design reviews with enterprise architects and C-suite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successful enterprise deployments, collaborating with distributed teams across multiple time zones.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customer requirements into architecturally sound solutions, enhancing product features based on client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due diligence for strategic opportunities, supporting high-value sales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reusable technical assets and documented best practices for broader team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streamlined development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implemented optimizations to improve service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team collaborations to align on project goals and execution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platform solutions in a multi-cloud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coding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enterprise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application integrations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quality assurance for deployed AI solutions, ensuring operational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enhance code quality and reliability of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product roadmaps based on customer insights and technical feasibility analysis.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speed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zero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automated testing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and reliable infrastructure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with significant code contributions, enhancing system functionalities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Spring,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Kore.ai, Pega, Google Cloud Platform, ServiceNow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