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AI, Python, SQL, and TypeScript. Proven track record in building production-grade solutions and optimizing business processes. Experienced in driving measurable ROI through innovative AI-native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full-stack </w:t>
      </w:r>
      <w:r>
        <w:rPr>
          <w:rFonts w:asciiTheme="minorHAnsi" w:hAnsiTheme="minorHAnsi" w:cstheme="majorHAnsi"/>
          <w:b/>
          <w:bCs/>
          <w:lang w:val="en-US"/>
        </w:rPr>
        <w:t xml:space="preserve">AI-native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business value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and deployed MVP-grade workflows on client platforms, demonstrating ROI within weeks.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identify high-impact AI use cases, integrating solutions with existing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Streamlit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usability for business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Productionized AI solutions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 for projects, driving alignment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development best practices and facilitated knowledge-sharing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user research, providing feedback loops to iterate on features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documentation and internal playbooks to capture best practices for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business leaders to align technology strategies with KPIs and expected business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development of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software design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implement machine learning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user interface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client engagement and intuitiveness.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transformation processes, improving speed and reliability of data access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engagement, identifying business needs and proposing tailored AI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monitoring and optimization strategies to ensure high availability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transfer workshops with clients to promote adoption of AI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platforms, enhancing application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develop specifications and integrate client feedback into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practices and ensured compliance with best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workflows with streamlined documentation, covering key project phases and technical details.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Streamlit, Gradio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Snowflake,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Fivetran, dbt, Data Transformation,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AI Agents, RAG, LLM workflows, Model Evaluation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