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Domain Architect with over 11 years in software engineering, specializing in AWS, Rails, Node.js, Django, and CI/CD. Proven ability to modernize architecture while balancing scalability with business impact.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integration strategies between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</w:t>
      </w:r>
      <w:r>
        <w:rPr>
          <w:rFonts w:asciiTheme="minorHAnsi" w:hAnsiTheme="minorHAnsi" w:cstheme="majorHAnsi"/>
          <w:b/>
          <w:bCs/>
          <w:lang w:val="en-US"/>
        </w:rPr>
        <w:t xml:space="preserve">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inter-domain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domain architecture strategies by decomposing monolithic systems into domain-based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domain-driven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architectural reviews and modernizing initiatives, aligning product roadmaps with architectural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to enhance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observability and monitoring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reliable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technical standards for service ownership to improve development cycles and maintainability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architectural best practices, promoting a culture of knowledge transfer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 Architecture Decision Records (ADRs) to document trade-offs and align stakeholders on domain boundaries.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API versioning and schema evolution strategies across distributed systems for improved data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Product, Design, and Engineering teams on technical specifications and integration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technical debt and create actionable plans for modernization, leading to a decrease in operational friction.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solution designs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overall architecture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discussions for new product features, emphasizing the importance of domain boundaries and service ownership.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architecture decisions and component interfaces to support cross-team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build and deployment processes for multiple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strategies,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key point of contact for system performance evaluations, leading to improved application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optimized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focused on data synchronization patterns among disparate systems,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monolithic applications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contributing towards better software quality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applications’ database schema, ensuring integrity and efficiency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resulting in a 30% reduction in critical bugs prior to release.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Django, Node.js, React, React Native, Laravel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Datadog, OpenTelemetry, CircleCI,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