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cloud infrastructure, automation, and CI/CD. Expertise in AWS, Azure, GCP, Terraform, and Ansible. Proven track record in building secure, compliant multi-tenant environments and optimizing deployment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cloud infrastructure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CI/CD workflows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repeatable and compliant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CI/CD pipelines, emphasizing security and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validation and security scans for infrastructure changes within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network configurations and access management aligned to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incident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track </w:t>
      </w:r>
      <w:r>
        <w:rPr>
          <w:rFonts w:asciiTheme="minorHAnsi" w:hAnsiTheme="minorHAnsi" w:cstheme="majorHAnsi"/>
          <w:b/>
          <w:bCs/>
          <w:lang w:val="en-US"/>
        </w:rPr>
        <w:t xml:space="preserve">SLIs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services to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compliance checks using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OPA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HashiCorp Sentinel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secrets and credentials using </w:t>
      </w:r>
      <w:r>
        <w:rPr>
          <w:rFonts w:asciiTheme="minorHAnsi" w:hAnsiTheme="minorHAnsi" w:cstheme="majorHAnsi"/>
          <w:b/>
          <w:bCs/>
          <w:lang w:val="en-US"/>
        </w:rPr>
        <w:t xml:space="preserve">AWS KMS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enforce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issues within Kubernetes environments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infrastructure design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CI/CD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consistent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 orchestration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compliance reporting in 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 800-53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cloud security practices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deployed infrastructure and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resource provisioning and configuration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infrastructure team to troubleshoot and optimize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system documentation and compliance artifacts, ensuring operational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Ansible, GitOps,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GitLab CI, Azure DevOps,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CloudWatch, Datadog,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NIST 800-53, Key Vault, Vault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Kubernetes, EKS, AKS, GKE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