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building scalable, resilient, and secure cloud-native platforms. Expertise in AWS, Kubernetes, Terraform, and DevSecOps practices to deliver automated solutions that enhance application deployment and governance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a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self-service platform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</w:t>
      </w:r>
      <w:r>
        <w:rPr>
          <w:rFonts w:asciiTheme="minorHAnsi" w:hAnsiTheme="minorHAnsi" w:cstheme="majorHAnsi"/>
          <w:b/>
          <w:bCs/>
          <w:lang w:val="en-US"/>
        </w:rPr>
        <w:t xml:space="preserve">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testing, and monitoring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architectural vision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owners to prioritize features for platform development, delivering on customer and federal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development environments and reducing provisioning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engineering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security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build, test, and deployment processes, improving operational efficiency and reducing cycle time for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access controls and governance to maintain compliance with regulatory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innovation,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platform capabilities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observability practices, including logging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developing and deploying microservices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to support scalable applications, overseeing deployments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technical roadmaps aligning with product vision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setup time and eliminating configuration drift.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 more streamlined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testing and optimization to ensure application reliability during peak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security measures throughout the software development lifecycle, focusing on compliance with internal and external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through testing and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in production environments, enhancing application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with a focus on security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 and issue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troubleshoot production issues, applying problem-solving strategies for rapid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project documentation and implementation strategies, ensuring alignment with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Bash,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ArgoCD,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Sentry, mTLS, FedRAMP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VMware, vSphere, Puppet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