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Scientist with 11+ years in analytics and risk modeling. Proficient in Python, SQL, and machine learning. Specialized in AML/CTF analytics, leveraging cloud platforms for scalable solutions. Avid collaborator in cross-functional teams to drive insights and operational improvements.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AML/CTF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regulatory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advanced analytics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model performance through rigorous testing and tuning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business stakeholders to transform complex data challenges into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business processes, enhancing decision-making capabilities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scientists and analysts on statistical methodologies and data interpretation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cross-functional meetings to align on project goals and refine analytics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initiatives for continuous improvement in data-driven decision-making for risk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evaluate model performance metrics, leading adjustments based on emerging data trends and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governance frameworks for data analytics practices, ensuring alignment with enterprise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workshops aimed at enhancing data literacy within the organization, cultivating a culture of data-driven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multiple high-impact projects, prioritizing deliverables to meet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customer risk models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mining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solutions improving the efficiency of compliance processes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scientists,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analytics opportunities, supporting key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model validation techniques, reducing false positive rates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transaction monitoring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workshops on statistical methods, increasing stakeholder understanding of analytics benefits.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 participation in troubleshooting of data pipeline issues,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comprehensive reports for senior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strategic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an individual contributor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financial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of legacy systems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automation scripts, improving processing speed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data infrastructure to modern platforms,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analytical dashboards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decision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cleansing and pre-processing tasks, streamlining data quality assessments.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coding reviews and best practices discussions, ensuring adherence to high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Java, SAS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lang w:val="en-US"/>
        </w:rPr>
        <w:t xml:space="preserve">: Machine Learning, Predictive Analytics, Statistical Analysis, Model Validation, Natural Language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Apache Spark, Hadoop, Tableau, Power BI, Jupyter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Warehousing</w:t>
      </w:r>
      <w:r>
        <w:rPr>
          <w:rFonts w:asciiTheme="minorHAnsi" w:hAnsiTheme="minorHAnsi" w:cstheme="majorHAnsi"/>
          <w:lang w:val="en-US"/>
        </w:rPr>
        <w:t xml:space="preserve">: MySQL, PostgreSQL, MongoDB, Oracle,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 &amp; Reporting</w:t>
      </w:r>
      <w:r>
        <w:rPr>
          <w:rFonts w:asciiTheme="minorHAnsi" w:hAnsiTheme="minorHAnsi" w:cstheme="majorHAnsi"/>
          <w:lang w:val="en-US"/>
        </w:rPr>
        <w:t xml:space="preserve">: Tableau, Grafana, Power BI, Matplotlib, Seaborn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