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scalable data services and pipelines. Proficient in Graph databases, AWS, Apache Kafka, and ETL processes. Proven track record in data architecture and automation for decision-making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data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analytics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data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internal and external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entity resolution techniques to create unified 'Golden Records' leveraging </w:t>
      </w:r>
      <w:r>
        <w:rPr>
          <w:rFonts w:asciiTheme="minorHAnsi" w:hAnsiTheme="minorHAnsi" w:cstheme="majorHAnsi"/>
          <w:b/>
          <w:bCs/>
          <w:lang w:val="en-US"/>
        </w:rPr>
        <w:t xml:space="preserve">Senzing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data modeling, quality, and governance, ensuring trustworthy datasets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real-time risk assessment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fast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science and engineering teams to align needs with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automation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reliability frameworks for data services, using observability tools for metrics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scalable hybrid storage strategies combining graph databases and document stores.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improvements to data processing workflows resulting in reduced latency and increased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to ensure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data services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batch processing systems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detailed data models and ontologies to accommodate changing regulatory data formats.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analytics teams to enhance data-driven insights through cloud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for a centralized data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validation processes using automated testing frameworks to ensure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support data migrations and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to software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architectures in compliance with regulatory standards including AML and KYC.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deliver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governance initiatives by developing documentation for data lineage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data services through proactive monitoring and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Flink, Apache Kafka,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Neo4j, AWS Neptune, Structured Data, Unstructured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Data Warehousing, Data Governance, ETL/ELT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Metrics, Logs, Tracing, Monitoring Platforms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