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transforming complex datasets into actionable insights. Proficient in Power BI, SQL, and Python for advanced analytics. Expertise in developing metrics and KPIs to enhance business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customer-centric dashboards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insight visibility and business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process improvements and deliver actionable insights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architecture decisions for analytics solutions, enhancing data-driven decision-making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data mining techniques with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uncover trends and insights, resulting in significant ROI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tracked customized KPIs to ensure alignment with business objectives, utilizing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ongoing performance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data analysis and visualization,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Standardized analytics frameworks and industry-specific templates to facilitate effective reporting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value engineering workshops with customers to align analytics solutions with business goals, ensuring maximum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innovative visualization techniques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clarity for technical and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continuous innovation discussions with the Data Science team, exploring new analytical approaches using emerging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compelling, data-driven stories to support strategic decisions, enhancing customer outcomes and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intuitive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data visibility for key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customer-facing meetings to gather insights, focusing on analytics solutions aligned with customer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business process analysis techniques, enhancing team skillsets in data-driven decision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perform complex data transformations, significantly improving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operational datasets to discover actionable insights, promoting enhanced efficiency in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innovate new value-added services based on analytics findings and market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value-based discussions by analyzing economic and corporate trends relevant to customer industries.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regular performance metrics reports to management,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storytelling.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data systems, implementing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business process analysis to identify areas for improvement, contributing to process optimization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warehousing projects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accessibility and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dashboards that provided insights into operational metrics for cross-departmental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data integrity and compliance throughout the transition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discussions to optimize analytic workflows and improve data asset utilization.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Databricks,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Processing</w:t>
      </w:r>
      <w:r>
        <w:rPr>
          <w:rFonts w:asciiTheme="minorHAnsi" w:hAnsiTheme="minorHAnsi" w:cstheme="majorHAnsi"/>
          <w:lang w:val="en-US"/>
        </w:rPr>
        <w:t xml:space="preserve">: OLAP,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SSIS, SSRS, SSAS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KPI Development, Value Engineering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