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Analyst with over 11 years in programmatic advertising and technical operations. Proficient in oRTB, ad serving, and data analysis tools. Skilled in optimizing inventory performance and supporting technical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projects to optimize inventory KPIs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workflows for incident response to improve platform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technical documentation to streamline best practices for internal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partners to implement </w:t>
      </w:r>
      <w:r>
        <w:rPr>
          <w:rFonts w:asciiTheme="minorHAnsi" w:hAnsiTheme="minorHAnsi" w:cstheme="majorHAnsi"/>
          <w:b/>
          <w:bCs/>
          <w:lang w:val="en-US"/>
        </w:rPr>
        <w:t xml:space="preserve">oRTB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enhance inventory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architecture reviews, focusing on inventory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in ad serving through automation and data-driven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in technical troubleshooting and data management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ad-hoc analyses to resolve campaign-related issues and improve media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systems for key inventory KPIs leveraging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integration of new technologies into the inventory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data trends to provide insights into inventory performance and optimization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technical operations and support for programmatic advertising initiatives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optimize requirements and enhance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ad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 and troubleshooting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data analyses to identify performance improvements in inventory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reporting tools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cross-team collaborations to streamline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product design discussions focusing on </w:t>
      </w:r>
      <w:r>
        <w:rPr>
          <w:rFonts w:asciiTheme="minorHAnsi" w:eastAsia="Times New Roman" w:hAnsiTheme="minorHAnsi" w:cs="Times New Roman"/>
          <w:b/>
          <w:bCs/>
          <w:lang w:val="en-US"/>
        </w:rPr>
        <w:t xml:space="preserve">Header Bidding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upgrades.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complex ad serving issues through root cause analysis and systematic documentation.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ad serving systems to enhance client offerings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execution on inventory enhancements with a focus on operational excellence.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of ad delivery systems to ensure high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integrate features into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entry and initial analyses as part of inventory management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system maintenance of ad serving infrastructure.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Tools</w:t>
      </w:r>
      <w:r>
        <w:rPr>
          <w:rFonts w:asciiTheme="minorHAnsi" w:hAnsiTheme="minorHAnsi" w:cstheme="majorHAnsi"/>
          <w:lang w:val="en-US"/>
        </w:rPr>
        <w:t xml:space="preserve">: Tableau, Google Analytics,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Ad Technologies</w:t>
      </w:r>
      <w:r>
        <w:rPr>
          <w:rFonts w:asciiTheme="minorHAnsi" w:hAnsiTheme="minorHAnsi" w:cstheme="majorHAnsi"/>
          <w:lang w:val="en-US"/>
        </w:rPr>
        <w:t xml:space="preserve">: oRTB, Programmatic Advertising, Header Bidding, Ad Servers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Monitoring</w:t>
      </w:r>
      <w:r>
        <w:rPr>
          <w:rFonts w:asciiTheme="minorHAnsi" w:hAnsiTheme="minorHAnsi" w:cstheme="majorHAnsi"/>
          <w:lang w:val="en-US"/>
        </w:rPr>
        <w:t xml:space="preserve">: Grafana, Prometheus, Zapier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Confluence, JIRA,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Redmine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