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in Oracle Cloud Infrastructure, Windows Server Administration, and Linux environments. Expertise in automation, cloud migrations, and application deployment with a focus on security, scalability,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Oracle 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enhanced system performance and security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for cloud migration projects, ensuring scalability and resilience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processes for application deployment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user acceptance testing to validate application reliability during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developers on defining requirements and testing cloud applications pre- and post-migration.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define the Definition of Ready for sprints,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bi-weekly status updates to stakeholders, reporting on testing phases and roadblocks during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organized the project management tool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sprint planning and execution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disaster recovery planning protocols in line with organizational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the Definition of Done criteria for project deliverables ensuring high 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cloud-based application support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design and implementation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services to the cloud, ensuring timely delivery and adherence to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as part of team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performance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cloud operations and procedures, emphasizing clarity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testing of web applications prior to release, ensuring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including sprint planning and retrospectives,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reducing manual intervention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focusing on application support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IT disaster recovery initiatives, ensuring minimal downtime for critical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software installations and updates on server environments,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support protocols, enhancing the responsiveness of the IT helpdesk.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for systems change management and operational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training sessions, improving overall knowledge sharing and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Oracle Cloud Infrastructure, Automation, Infrastructure as Code (IaC), VMware,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LoadRunner, Dynatrace, Micro Focus ALM Octane, UFT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Certifications</w:t>
      </w:r>
      <w:r>
        <w:rPr>
          <w:rFonts w:asciiTheme="minorHAnsi" w:hAnsiTheme="minorHAnsi" w:cstheme="majorHAnsi"/>
          <w:lang w:val="en-US"/>
        </w:rPr>
        <w:t xml:space="preserve">: CompTIA Security+, IASAE L2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Acceptance Testing, Application deployment, Functional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