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cloud infrastructure, focusing on GCP, Kubernetes, Terraform, and Linux. Proven track record in improving system reliability and implementing robust deployment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reliability and availability of services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Infrastructure-as-Code, improving deployment speed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developers to establish effective runbooks and rollback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monitoring and alerting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service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post-incident reviews, driving root cause analysis (RCA) and preventive 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Kubernetes workloads focusing on scaling, performance, and operational hygiene.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repetitive tasks using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scripts, boosting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security compliance initiatives, enhancing access controls and secrets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through capacity planning and troubleshooting of infrastructure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self-service tools to streamline operational workflows and improve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cross-team collaboration to ensure smooth deployments and operational readiness.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cloud services, enhancing performance and reliability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monitored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 dashboards.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Infrastructure-as-Code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aligning with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response efforts through effective triage and mitigation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logging and observability using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stack, enhancing system transparency.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implementing scalable and secure designs.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system features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 practices, enhancing deployment frequency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application migrations to containerized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system bottlenecks.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high code quality through peer reviews and rigorous testing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infrastructure improvements, contributing to a 30% increase in system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Kubernetes, Terraform, Linux, Docker,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ELK, Cloud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Incident Management</w:t>
      </w:r>
      <w:r>
        <w:rPr>
          <w:rFonts w:asciiTheme="minorHAnsi" w:hAnsiTheme="minorHAnsi" w:cstheme="majorHAnsi"/>
          <w:lang w:val="en-US"/>
        </w:rPr>
        <w:t xml:space="preserve">: RCA, Incident Response, Triage, Mitigation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BigQuery,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GitOps, Argo CD,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