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Applications Engineer with over 11 years in energy storage solutions, specializing in Battery Energy Storage Systems (BESS), system sizing, and technical support. Proficient in AutoCAD, engineering schematics, and UL standards, fostering solutions that promote sustainable energy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expertise for Canadian Solar's </w:t>
      </w:r>
      <w:r>
        <w:rPr>
          <w:rFonts w:asciiTheme="minorHAnsi" w:hAnsiTheme="minorHAnsi" w:cstheme="majorHAnsi"/>
          <w:b/>
          <w:bCs/>
          <w:lang w:val="en-US"/>
        </w:rPr>
        <w:t xml:space="preserve">BESS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pre-sales processes and customer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w:t>
      </w:r>
      <w:r>
        <w:rPr>
          <w:rFonts w:asciiTheme="minorHAnsi" w:hAnsiTheme="minorHAnsi" w:cstheme="majorHAnsi"/>
          <w:b/>
          <w:bCs/>
          <w:lang w:val="en-US"/>
        </w:rPr>
        <w:t xml:space="preserve">RFPs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customer documentation for project supply scope, ensuring alignment with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sizing of </w:t>
      </w:r>
      <w:r>
        <w:rPr>
          <w:rFonts w:asciiTheme="minorHAnsi" w:hAnsiTheme="minorHAnsi" w:cstheme="majorHAnsi"/>
          <w:b/>
          <w:bCs/>
          <w:lang w:val="en-US"/>
        </w:rPr>
        <w:t xml:space="preserve">BESS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using internal models and tools for accurate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documentation for technical exhibits and negotiate terms with stakeholders during contract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sales and engineering teams to address customer needs and project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presentations, ensuring clarity in product specifications to diverse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growth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insights to product development based on market trends and stakeholder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improvements in grid operations through innovative system designs and value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drafting and design layout of proposed energy storage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travel commitments, interfacing with clients up to 20% of the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solutions for </w:t>
      </w:r>
      <w:r>
        <w:rPr>
          <w:rFonts w:asciiTheme="minorHAnsi" w:eastAsia="Times New Roman" w:hAnsiTheme="minorHAnsi" w:cs="Times New Roman"/>
          <w:b/>
          <w:bCs/>
          <w:lang w:val="en-US"/>
        </w:rPr>
        <w:t xml:space="preserve">battery energy storage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utility-scale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engineering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team performance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proposals for large storage projects that met both technical and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system sizing calculations and preliminary designs for new installations involving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technical documentation prior to submission, ensuring compliance with </w:t>
      </w:r>
      <w:r>
        <w:rPr>
          <w:rFonts w:asciiTheme="minorHAnsi" w:eastAsia="Times New Roman" w:hAnsiTheme="minorHAnsi" w:cs="Times New Roman"/>
          <w:b/>
          <w:bCs/>
          <w:lang w:val="en-US"/>
        </w:rPr>
        <w:t xml:space="preserve">UL regulatory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workshops on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and system performance for internal teams and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departments to finalize bids and technical specifications tailored to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PVSyst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simulations and modeling of energy storage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battery management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modern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optimizing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project execution, focusing on meeting schedules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engineering documentation and reports for projects involving energy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installations, ensuring compliance with technical requirements and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performance improvement in system efficiency through targeted architectural changes.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AutoCAD,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PVSyst, HOMER, Revit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Simulink, Load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