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Architect with over 11 years of experience specializing in .NET, Java, Python, and Cloud technologies. Proven expertise in leading architecture initiatives and delivering enterprise-level applications. Strong background in agile development, mentoring, and collaborating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initiatives for scalable,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technology standards and drive architectural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proof-of-concept projects to evaluate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reviews, proposing solutions to align with overall architectural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reliability through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management and technical leads for roadmap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compliance requirements were met in architectural frameworks in partnership with 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improve development practices and architectural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architectural documentation guiding development practices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full software development lifecycle from design to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senior developer.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software components and drove improvements for system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conducted code reviews to elevate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using principles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initiatives to enhance existing applications and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to align with the development team's goals and product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increasing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stakeholders for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provided enhancements under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efforts to ensure code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integrations with third-party platforms via standardized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solutions on time, improving project success rates by 25%.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.NET, Java, Python,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Kubernetes,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Principles</w:t>
      </w:r>
      <w:r>
        <w:rPr>
          <w:rFonts w:asciiTheme="minorHAnsi" w:hAnsiTheme="minorHAnsi" w:cstheme="majorHAnsi"/>
          <w:lang w:val="en-US"/>
        </w:rPr>
        <w:t xml:space="preserve">: SOLID Principles, Microservices Architecture, Object Oriented Design Patterns,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 Methods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