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professional with over 11 years of experience in sales management and strategic development within the ophthalmology domain. Proven expertise in digital ecosystem implementation, academic center partnerships, and clinical education programs. Adept in C-Suite engagement and utilizing data analysis for business proposals.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strategies for managing </w:t>
      </w:r>
      <w:r>
        <w:rPr>
          <w:rFonts w:asciiTheme="minorHAnsi" w:hAnsiTheme="minorHAnsi" w:cstheme="majorHAnsi"/>
          <w:b/>
          <w:bCs/>
          <w:lang w:val="en-US"/>
        </w:rPr>
        <w:t xml:space="preserve">academic centers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multiple states, driving the adoption of the </w:t>
      </w:r>
      <w:r>
        <w:rPr>
          <w:rFonts w:asciiTheme="minorHAnsi" w:hAnsiTheme="minorHAnsi" w:cstheme="majorHAnsi"/>
          <w:b/>
          <w:bCs/>
          <w:lang w:val="en-US"/>
        </w:rPr>
        <w:t xml:space="preserve">ZEISS Digital Ecosystem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C-Suite executives to foster partnerships and align </w:t>
      </w:r>
      <w:r>
        <w:rPr>
          <w:rFonts w:asciiTheme="minorHAnsi" w:hAnsiTheme="minorHAnsi" w:cstheme="majorHAnsi"/>
          <w:b/>
          <w:bCs/>
          <w:lang w:val="en-US"/>
        </w:rPr>
        <w:t xml:space="preserve">ZEISS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with institutional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deliver specialized educational programs tailored to faculty, staff, and residents within target </w:t>
      </w:r>
      <w:r>
        <w:rPr>
          <w:rFonts w:asciiTheme="minorHAnsi" w:hAnsiTheme="minorHAnsi" w:cstheme="majorHAnsi"/>
          <w:b/>
          <w:bCs/>
          <w:lang w:val="en-US"/>
        </w:rPr>
        <w:t xml:space="preserve">academic centers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assessing client needs and creating comprehensive </w:t>
      </w:r>
      <w:r>
        <w:rPr>
          <w:rFonts w:asciiTheme="minorHAnsi" w:hAnsiTheme="minorHAnsi" w:cstheme="majorHAnsi"/>
          <w:b/>
          <w:bCs/>
          <w:lang w:val="en-US"/>
        </w:rPr>
        <w:t xml:space="preserve">business proposals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all </w:t>
      </w:r>
      <w:r>
        <w:rPr>
          <w:rFonts w:asciiTheme="minorHAnsi" w:hAnsiTheme="minorHAnsi" w:cstheme="majorHAnsi"/>
          <w:b/>
          <w:bCs/>
          <w:lang w:val="en-US"/>
        </w:rPr>
        <w:t xml:space="preserve">ZEISS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strong relationships with key decision-makers to enhance brand visibility and increase sales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industry trends to identify market gaps and position </w:t>
      </w:r>
      <w:r>
        <w:rPr>
          <w:rFonts w:asciiTheme="minorHAnsi" w:hAnsiTheme="minorHAnsi" w:cstheme="majorHAnsi"/>
          <w:b/>
          <w:bCs/>
          <w:lang w:val="en-US"/>
        </w:rPr>
        <w:t xml:space="preserve">ZEISS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 against competitors.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sales and marketing on initiatives that promote </w:t>
      </w:r>
      <w:r>
        <w:rPr>
          <w:rFonts w:asciiTheme="minorHAnsi" w:hAnsiTheme="minorHAnsi" w:cstheme="majorHAnsi"/>
          <w:b/>
          <w:bCs/>
          <w:lang w:val="en-US"/>
        </w:rPr>
        <w:t xml:space="preserve">ZEISS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and services within the ophthalmology sector.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procurement process to ensure seamless access to the full </w:t>
      </w:r>
      <w:r>
        <w:rPr>
          <w:rFonts w:asciiTheme="minorHAnsi" w:hAnsiTheme="minorHAnsi" w:cstheme="majorHAnsi"/>
          <w:b/>
          <w:bCs/>
          <w:lang w:val="en-US"/>
        </w:rPr>
        <w:t xml:space="preserve">ZEISS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portfolio for targeted accounts.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sales personnel on effective strategies for engaging academic clients and managing their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track engagement metrics and drive continuous improvement in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hands-on demonstrations of </w:t>
      </w:r>
      <w:r>
        <w:rPr>
          <w:rFonts w:asciiTheme="minorHAnsi" w:hAnsiTheme="minorHAnsi" w:cstheme="majorHAnsi"/>
          <w:b/>
          <w:bCs/>
          <w:lang w:val="en-US"/>
        </w:rPr>
        <w:t xml:space="preserve">ophthalmic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faculty and academic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key relationships with </w:t>
      </w:r>
      <w:r>
        <w:rPr>
          <w:rFonts w:asciiTheme="minorHAnsi" w:eastAsia="Times New Roman" w:hAnsiTheme="minorHAnsi" w:cs="Times New Roman"/>
          <w:b/>
          <w:bCs/>
          <w:lang w:val="en-US"/>
        </w:rPr>
        <w:t xml:space="preserve">academic centers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engagement and partnership opportunities throughout the educational landscape.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faculty and administrative staff to develop training modules on </w:t>
      </w:r>
      <w:r>
        <w:rPr>
          <w:rFonts w:asciiTheme="minorHAnsi" w:eastAsia="Times New Roman" w:hAnsiTheme="minorHAnsi" w:cs="Times New Roman"/>
          <w:b/>
          <w:bCs/>
          <w:lang w:val="en-US"/>
        </w:rPr>
        <w:t xml:space="preserve">ZEISS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industry trends and competitor strategies to define market positioning of </w:t>
      </w:r>
      <w:r>
        <w:rPr>
          <w:rFonts w:asciiTheme="minorHAnsi" w:eastAsia="Times New Roman" w:hAnsiTheme="minorHAnsi" w:cs="Times New Roman"/>
          <w:b/>
          <w:bCs/>
          <w:lang w:val="en-US"/>
        </w:rPr>
        <w:t xml:space="preserve">ophthalmic equipment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digital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boosting their capacity to deliver effective customer presentations and educational content.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effective educational programs and workshops, enhancing knowledge of </w:t>
      </w:r>
      <w:r>
        <w:rPr>
          <w:rFonts w:asciiTheme="minorHAnsi" w:eastAsia="Times New Roman" w:hAnsiTheme="minorHAnsi" w:cs="Times New Roman"/>
          <w:b/>
          <w:bCs/>
          <w:lang w:val="en-US"/>
        </w:rPr>
        <w:t xml:space="preserve">ophthalmic diagnostics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among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clinical practitioners to understand their needs and effectively communicate the value of the </w:t>
      </w:r>
      <w:r>
        <w:rPr>
          <w:rFonts w:asciiTheme="minorHAnsi" w:eastAsia="Times New Roman" w:hAnsiTheme="minorHAnsi" w:cs="Times New Roman"/>
          <w:b/>
          <w:bCs/>
          <w:lang w:val="en-US"/>
        </w:rPr>
        <w:t xml:space="preserve">ZEISS Digital Ecosystem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innovative marketing strategies that increased brand recognition and drove additional sales within target markets.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project milestones and delivered reports highlighting progress toward corporate goals and educational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a </w:t>
      </w:r>
      <w:r>
        <w:rPr>
          <w:rFonts w:asciiTheme="minorHAnsi" w:eastAsia="Times New Roman" w:hAnsiTheme="minorHAnsi" w:cs="Times New Roman"/>
          <w:b/>
          <w:bCs/>
          <w:lang w:val="en-US"/>
        </w:rPr>
        <w:t xml:space="preserve">clinical software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for health professionals.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multidisciplinary teams to maintain and enhance existing software systems for </w:t>
      </w:r>
      <w:r>
        <w:rPr>
          <w:rFonts w:asciiTheme="minorHAnsi" w:eastAsia="Times New Roman" w:hAnsiTheme="minorHAnsi" w:cs="Times New Roman"/>
          <w:b/>
          <w:bCs/>
          <w:lang w:val="en-US"/>
        </w:rPr>
        <w:t xml:space="preserve">ophthalmology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testing and quality assurance on digital applications to ensure reliability and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to clients and conducted training to enhance their understanding of software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and analyzed user feedback, translating it into actionable improvements in software design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system downtime by 20% through effective troubleshooting and proactive maintenance of software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&amp; Account Management</w:t>
      </w:r>
      <w:r>
        <w:rPr>
          <w:rFonts w:asciiTheme="minorHAnsi" w:hAnsiTheme="minorHAnsi" w:cstheme="majorHAnsi"/>
          <w:lang w:val="en-US"/>
        </w:rPr>
        <w:t xml:space="preserve">: Strategic Partnerships, C-Suite Engagement, Account Leadership, Project Management, Business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Digital &amp; Technical Expertise</w:t>
      </w:r>
      <w:r>
        <w:rPr>
          <w:rFonts w:asciiTheme="minorHAnsi" w:hAnsiTheme="minorHAnsi" w:cstheme="majorHAnsi"/>
          <w:lang w:val="en-US"/>
        </w:rPr>
        <w:t xml:space="preserve">: Digital Ecosystem, Product Knowledge, Clinical Education, Data Analysis, Ophthalmic Diagnostics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Educational Program Development</w:t>
      </w:r>
      <w:r>
        <w:rPr>
          <w:rFonts w:asciiTheme="minorHAnsi" w:hAnsiTheme="minorHAnsi" w:cstheme="majorHAnsi"/>
          <w:lang w:val="en-US"/>
        </w:rPr>
        <w:t xml:space="preserve">: Training Development, Curriculum Design, Workshop Facilitation, KOL Engagement, Content Creation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w:t>
      </w:r>
      <w:r>
        <w:rPr>
          <w:rFonts w:asciiTheme="minorHAnsi" w:hAnsiTheme="minorHAnsi" w:cstheme="majorHAnsi"/>
          <w:lang w:val="en-US"/>
        </w:rPr>
        <w:t xml:space="preserve">: Cross-Functional Teamwork, Stakeholder Management, Relationship Building, Conflict Management, Mentoring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Presentation Skills</w:t>
      </w:r>
      <w:r>
        <w:rPr>
          <w:rFonts w:asciiTheme="minorHAnsi" w:hAnsiTheme="minorHAnsi" w:cstheme="majorHAnsi"/>
          <w:lang w:val="en-US"/>
        </w:rPr>
        <w:t xml:space="preserve">: Public Speaking, Sales Presentations, Executive Briefing, Proposal Development, Customer Engagement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 Analysis</w:t>
      </w:r>
      <w:r>
        <w:rPr>
          <w:rFonts w:asciiTheme="minorHAnsi" w:hAnsiTheme="minorHAnsi" w:cstheme="majorHAnsi"/>
          <w:lang w:val="en-US"/>
        </w:rPr>
        <w:t xml:space="preserve">: ROI Development, Competitor Analysis, Market Strategies, Practice Management, Sales Metrics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