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Strategy Consultant with over 11 years of experience in advanced generative AI, architecture, and technical strategy. Proficient in OCR, annotation pipelines, and customer engagement to solve complex problems and enhance product roadmaps.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AI-driven strategies for personal injury firms, utilizing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settlement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Mastered EvenUp’s </w:t>
      </w:r>
      <w:r>
        <w:rPr>
          <w:rFonts w:asciiTheme="minorHAnsi" w:hAnsiTheme="minorHAnsi" w:cstheme="majorHAnsi"/>
          <w:b/>
          <w:bCs/>
          <w:lang w:val="en-US"/>
        </w:rPr>
        <w:t xml:space="preserve">multi-model AI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product direction based on client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scalable solutions with a focus on </w:t>
      </w:r>
      <w:r>
        <w:rPr>
          <w:rFonts w:asciiTheme="minorHAnsi" w:hAnsiTheme="minorHAnsi" w:cstheme="majorHAnsi"/>
          <w:b/>
          <w:bCs/>
          <w:lang w:val="en-US"/>
        </w:rPr>
        <w:t xml:space="preserve">OCR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layout-aware extraction to improve customer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decision reviews to maintain a robust framework for AI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Prototyped and deployed AI solutions, addressing high-complexity customer problems with innovative prompts and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implement seamless client integrations and features for enterprise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Influenced product roadmap through data-driven insights derived from real-world usage scenarios.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training sessions for clients on the </w:t>
      </w:r>
      <w:r>
        <w:rPr>
          <w:rFonts w:asciiTheme="minorHAnsi" w:hAnsiTheme="minorHAnsi" w:cstheme="majorHAnsi"/>
          <w:b/>
          <w:bCs/>
          <w:lang w:val="en-US"/>
        </w:rPr>
        <w:t xml:space="preserve">EvenUp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and AI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ownership for initiatives with successful customer trial conversions.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cost control measures on case handling through process automation and intelligent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communicated with stakeholders at all levels to maintain engagement and alignment.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Authored technical specifications for features while maintaining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backend services at Roundtable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effective coding practices and implementation of web applications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enhance system performance through optimization of existing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and APIs to expand product capabilities and improve client offerings.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code reviews ensuring adherence to best practices and quality standards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migration of legacy systems to microservice architecture leveraging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CI/CD pipelines using </w:t>
      </w:r>
      <w:r>
        <w:rPr>
          <w:rFonts w:asciiTheme="minorHAnsi" w:eastAsia="Times New Roman" w:hAnsiTheme="minorHAnsi" w:cs="Times New Roman"/>
          <w:b/>
          <w:bCs/>
          <w:lang w:val="en-US"/>
        </w:rPr>
        <w:t xml:space="preserve">Travis 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development workflow.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requirements and deliver tailored solutions aligned with AI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improved architecture of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Accipiter Labs.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quality assurance to ensure high reliability in software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legacy systems for scalability and performance in customer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client onboarding processes and customized solutions to meet unique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for system architecture and technical specifications to facilitate knowledge transfer.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small-scale projects successfully, leading to a 15% increase in application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Technologies</w:t>
      </w:r>
      <w:r>
        <w:rPr>
          <w:rFonts w:asciiTheme="minorHAnsi" w:hAnsiTheme="minorHAnsi" w:cstheme="majorHAnsi"/>
          <w:lang w:val="en-US"/>
        </w:rPr>
        <w:t xml:space="preserve">: TensorFlow, PyTorch, OpenAI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Git, GitHub Actions, Travis 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