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in deploying AI-driven solutions across various platforms. Skilled in utilizing Claude Code, Cursor, and Codex to enhance development processes. Proven track record in cross-functional project execution and building production-quality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cross-product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streamlined development processes and automated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internal tools and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manual overhead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agent-facing tooling for </w:t>
      </w:r>
      <w:r>
        <w:rPr>
          <w:rFonts w:asciiTheme="minorHAnsi" w:hAnsiTheme="minorHAnsi" w:cstheme="majorHAnsi"/>
          <w:b/>
          <w:bCs/>
          <w:lang w:val="en-US"/>
        </w:rPr>
        <w:t xml:space="preserve">Lightning Labs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demos to showcase AI integration within </w:t>
      </w:r>
      <w:r>
        <w:rPr>
          <w:rFonts w:asciiTheme="minorHAnsi" w:hAnsiTheme="minorHAnsi" w:cstheme="majorHAnsi"/>
          <w:b/>
          <w:bCs/>
          <w:lang w:val="en-US"/>
        </w:rPr>
        <w:t xml:space="preserve">Lightning Labs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identify automation opportunities yielding higher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AI-assisted development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high-priority projects autonomously, ensuring alignment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guidance on new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creating engaging sample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adapted to various roles and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progress, tradeoffs, and blockers effectively across multiple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scalable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software engineering best practices and code quality through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faster deployments and better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impactful projects that enhanced market competitiveness.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high-quality technical documentation for project references and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open source projects which contributed to the community and continued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repetitive tasks using custom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across the board.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software architectures, improving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shared knowledge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in team discussions to refine development workflows and best practices, affecting project outcomes positively.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Express, React, Node.js,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Claude Code, Cursor, Codex, GitHub,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