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developing and deploying robust AI solutions. Proficient in Python, SQL, Spark, and TensorFlow with a strong focus on generative AI and machine learning model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AI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predictive analytics and NLP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data processing and model training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machine learning models with performance validation metrics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successful deployment of AI solutions into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data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 datasets and analytics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data governance and compliance in clinical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and recommend tools to enhance CRG Digital's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API functionality for model access and reuse across digital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exploratory data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derive actionable insights from clinical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initiatives by partnering with external technology collaborators.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focusing on business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components of generative AI platforms, handling model testing and validation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in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ETL processes for data integration from various sources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data handling and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iterate on feature development for AI-driven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models to ensure compliance with GxP standards and regulatory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workflows to improve efficiency in project timelines and delivery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research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machine learning systems for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visualization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stakeholder presentations.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analysis for client engagements by deploying custom-built models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teams to enhance system performance, resulting in a 20% increase in operational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Pandas, NumPy, Jupyter, Matplotlib, Seaborn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Databricks,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Cassandra, Couchbase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