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backend development for web and mobile applications. Proven track record in designing, developing, and optimizing scalable software architectures using a diverse range of technologies, including Node/Express, TypeScript, and various cloud services. Expert in delivering high-performance APIs and collaborating with cross-functional teams to drive project success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Nest.js, Django, Flask, Spring, Ruby on Rails,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Cassandra,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Redis, Memcached, AWS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Postman, Swagger, JIRA, Agile,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to support a diverse portfolio of products, enabling rapid feature rollouts and enhancing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adherence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increased user traffic,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architecture for improved reliability and performance, enabling responsive handling of transactions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monolithic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deployment responsiveness and operational resilience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excellence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contributed to designing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reducing technical debt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tools, incorporating best practices from the fintech industry into the development cycles to foster innovation in solutions offered by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processes, effectively communicating with stakeholders to ensure clarity of requirements and timelines, driving project success through adaptive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 endpoints and backend services,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developer experience for internal and external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performance metrics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the health of backend services and inform strategic improvements, aligning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brainstorming sessions to architect solutions that balance user experience with technical feasibility, driving better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satisfaction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improved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optimized data models that support dynamic querying and efficient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security in backend services, safeguarding sensitive customer information and maintaining compliance with industry regulations over data integrity and confidentiality.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high levels of team engagement and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forming the backbone of innovative web applications that served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applications that improved system responsiveness, enabling rapid iterations and deployment of new features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enhancing the operational environment of developed applications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improving data access speed and integration with various cloud platforms, leading to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clean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consistent performance across various platforms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reducing downtime during deployments and achieving a high level of uptime for production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a comprehensive testing strategy, contributing to the overall quality assurance process and ensuring high standards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version control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efficient collaboration within the developer community and enhancing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closely with cross-functional teams to deliver projects on time and adapt to changing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documenting APIs, ensuring robust integration and consistent communication with front-end teams to enable efficient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strategies for backend systems, using insights to inform architectural decisions that aligned with business objectives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through technical workshops and lunch-and-learns, fostering an environment conducive to professional growth and improved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